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spacing w:before="156" w:beforeLines="50" w:after="156" w:afterLines="50"/>
        <w:jc w:val="center"/>
        <w:rPr>
          <w:rFonts w:ascii="黑体" w:hAnsi="黑体" w:eastAsia="黑体" w:cs="黑体"/>
          <w:sz w:val="32"/>
          <w:szCs w:val="32"/>
        </w:rPr>
      </w:pPr>
      <w:r>
        <w:rPr>
          <w:rFonts w:hint="eastAsia" w:ascii="黑体" w:hAnsi="黑体" w:eastAsia="黑体" w:cs="黑体"/>
          <w:sz w:val="36"/>
          <w:szCs w:val="36"/>
          <w:lang w:val="en-US" w:eastAsia="zh-CN"/>
        </w:rPr>
        <w:t>4</w:t>
      </w:r>
      <w:r>
        <w:rPr>
          <w:rFonts w:hint="eastAsia" w:ascii="黑体" w:hAnsi="黑体" w:eastAsia="黑体" w:cs="黑体"/>
          <w:sz w:val="36"/>
          <w:szCs w:val="36"/>
        </w:rPr>
        <w:t>项行业标准外文版计划申请汇总表</w:t>
      </w:r>
    </w:p>
    <w:tbl>
      <w:tblPr>
        <w:tblStyle w:val="11"/>
        <w:tblW w:w="15274" w:type="dxa"/>
        <w:jc w:val="center"/>
        <w:tblInd w:w="0" w:type="dxa"/>
        <w:tblLayout w:type="fixed"/>
        <w:tblCellMar>
          <w:top w:w="0" w:type="dxa"/>
          <w:left w:w="108" w:type="dxa"/>
          <w:bottom w:w="0" w:type="dxa"/>
          <w:right w:w="108" w:type="dxa"/>
        </w:tblCellMar>
      </w:tblPr>
      <w:tblGrid>
        <w:gridCol w:w="469"/>
        <w:gridCol w:w="1253"/>
        <w:gridCol w:w="1578"/>
        <w:gridCol w:w="684"/>
        <w:gridCol w:w="710"/>
        <w:gridCol w:w="913"/>
        <w:gridCol w:w="1585"/>
        <w:gridCol w:w="1413"/>
        <w:gridCol w:w="6669"/>
      </w:tblGrid>
      <w:tr>
        <w:tblPrEx>
          <w:tblLayout w:type="fixed"/>
          <w:tblCellMar>
            <w:top w:w="0" w:type="dxa"/>
            <w:left w:w="108" w:type="dxa"/>
            <w:bottom w:w="0" w:type="dxa"/>
            <w:right w:w="108" w:type="dxa"/>
          </w:tblCellMar>
        </w:tblPrEx>
        <w:trPr>
          <w:trHeight w:val="720" w:hRule="atLeast"/>
          <w:tblHeader/>
          <w:jc w:val="center"/>
        </w:trPr>
        <w:tc>
          <w:tcPr>
            <w:tcW w:w="46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sz w:val="18"/>
                <w:szCs w:val="18"/>
              </w:rPr>
            </w:pPr>
            <w:r>
              <w:rPr>
                <w:rFonts w:hint="eastAsia" w:ascii="宋体" w:hAnsi="宋体" w:cs="宋体"/>
                <w:b/>
                <w:bCs/>
                <w:sz w:val="18"/>
                <w:szCs w:val="18"/>
              </w:rPr>
              <w:t>序号</w:t>
            </w:r>
          </w:p>
        </w:tc>
        <w:tc>
          <w:tcPr>
            <w:tcW w:w="125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sz w:val="18"/>
                <w:szCs w:val="18"/>
              </w:rPr>
            </w:pPr>
            <w:r>
              <w:rPr>
                <w:rFonts w:hint="eastAsia" w:ascii="宋体" w:hAnsi="宋体" w:cs="宋体"/>
                <w:b/>
                <w:bCs/>
                <w:sz w:val="18"/>
                <w:szCs w:val="18"/>
              </w:rPr>
              <w:t>标准名称</w:t>
            </w:r>
          </w:p>
          <w:p>
            <w:pPr>
              <w:jc w:val="center"/>
              <w:rPr>
                <w:rFonts w:ascii="宋体" w:hAnsi="宋体" w:cs="宋体"/>
                <w:b/>
                <w:bCs/>
                <w:sz w:val="18"/>
                <w:szCs w:val="18"/>
              </w:rPr>
            </w:pPr>
            <w:r>
              <w:rPr>
                <w:rFonts w:hint="eastAsia" w:ascii="宋体" w:hAnsi="宋体" w:cs="宋体"/>
                <w:b/>
                <w:bCs/>
                <w:sz w:val="18"/>
                <w:szCs w:val="18"/>
              </w:rPr>
              <w:t>（中文）</w:t>
            </w:r>
          </w:p>
        </w:tc>
        <w:tc>
          <w:tcPr>
            <w:tcW w:w="15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sz w:val="18"/>
                <w:szCs w:val="18"/>
              </w:rPr>
            </w:pPr>
            <w:r>
              <w:rPr>
                <w:rFonts w:hint="eastAsia" w:ascii="宋体" w:hAnsi="宋体" w:cs="宋体"/>
                <w:b/>
                <w:bCs/>
                <w:sz w:val="18"/>
                <w:szCs w:val="18"/>
              </w:rPr>
              <w:t>标准名称</w:t>
            </w:r>
          </w:p>
          <w:p>
            <w:pPr>
              <w:jc w:val="center"/>
              <w:rPr>
                <w:rFonts w:ascii="宋体" w:hAnsi="宋体" w:cs="宋体"/>
                <w:b/>
                <w:bCs/>
                <w:sz w:val="18"/>
                <w:szCs w:val="18"/>
              </w:rPr>
            </w:pPr>
            <w:r>
              <w:rPr>
                <w:rFonts w:hint="eastAsia" w:ascii="宋体" w:hAnsi="宋体" w:cs="宋体"/>
                <w:b/>
                <w:bCs/>
                <w:sz w:val="18"/>
                <w:szCs w:val="18"/>
              </w:rPr>
              <w:t>（外文）</w:t>
            </w:r>
          </w:p>
        </w:tc>
        <w:tc>
          <w:tcPr>
            <w:tcW w:w="68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sz w:val="18"/>
                <w:szCs w:val="18"/>
              </w:rPr>
            </w:pPr>
            <w:r>
              <w:rPr>
                <w:rFonts w:hint="eastAsia" w:ascii="宋体" w:hAnsi="宋体" w:cs="宋体"/>
                <w:b/>
                <w:bCs/>
                <w:sz w:val="18"/>
                <w:szCs w:val="18"/>
              </w:rPr>
              <w:t>拟翻译语种</w:t>
            </w:r>
          </w:p>
        </w:tc>
        <w:tc>
          <w:tcPr>
            <w:tcW w:w="71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sz w:val="18"/>
                <w:szCs w:val="18"/>
              </w:rPr>
            </w:pPr>
            <w:r>
              <w:rPr>
                <w:rFonts w:hint="eastAsia" w:ascii="宋体" w:hAnsi="宋体" w:cs="宋体"/>
                <w:b/>
                <w:bCs/>
                <w:sz w:val="18"/>
                <w:szCs w:val="18"/>
              </w:rPr>
              <w:t>类型</w:t>
            </w:r>
          </w:p>
        </w:tc>
        <w:tc>
          <w:tcPr>
            <w:tcW w:w="9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sz w:val="18"/>
                <w:szCs w:val="18"/>
              </w:rPr>
            </w:pPr>
            <w:r>
              <w:rPr>
                <w:rFonts w:hint="eastAsia" w:ascii="宋体" w:hAnsi="宋体" w:cs="宋体"/>
                <w:b/>
                <w:bCs/>
                <w:sz w:val="18"/>
                <w:szCs w:val="18"/>
              </w:rPr>
              <w:t>标准号/</w:t>
            </w:r>
          </w:p>
          <w:p>
            <w:pPr>
              <w:jc w:val="center"/>
              <w:rPr>
                <w:rFonts w:ascii="宋体" w:hAnsi="宋体" w:cs="宋体"/>
                <w:b/>
                <w:bCs/>
                <w:sz w:val="18"/>
                <w:szCs w:val="18"/>
              </w:rPr>
            </w:pPr>
            <w:r>
              <w:rPr>
                <w:rFonts w:hint="eastAsia" w:ascii="宋体" w:hAnsi="宋体" w:cs="宋体"/>
                <w:b/>
                <w:bCs/>
                <w:sz w:val="18"/>
                <w:szCs w:val="18"/>
              </w:rPr>
              <w:t>计划号</w:t>
            </w:r>
          </w:p>
        </w:tc>
        <w:tc>
          <w:tcPr>
            <w:tcW w:w="15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sz w:val="18"/>
                <w:szCs w:val="18"/>
              </w:rPr>
            </w:pPr>
            <w:r>
              <w:rPr>
                <w:rFonts w:hint="eastAsia" w:ascii="宋体" w:hAnsi="宋体" w:cs="宋体"/>
                <w:b/>
                <w:bCs/>
                <w:sz w:val="18"/>
                <w:szCs w:val="18"/>
              </w:rPr>
              <w:t>技术委员会或</w:t>
            </w:r>
          </w:p>
          <w:p>
            <w:pPr>
              <w:jc w:val="center"/>
              <w:rPr>
                <w:rFonts w:ascii="宋体" w:hAnsi="宋体" w:cs="宋体"/>
                <w:b/>
                <w:bCs/>
                <w:sz w:val="18"/>
                <w:szCs w:val="18"/>
              </w:rPr>
            </w:pPr>
            <w:r>
              <w:rPr>
                <w:rFonts w:hint="eastAsia" w:ascii="宋体" w:hAnsi="宋体" w:cs="宋体"/>
                <w:b/>
                <w:bCs/>
                <w:sz w:val="18"/>
                <w:szCs w:val="18"/>
              </w:rPr>
              <w:t>技术归口单位</w:t>
            </w:r>
          </w:p>
        </w:tc>
        <w:tc>
          <w:tcPr>
            <w:tcW w:w="14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sz w:val="18"/>
                <w:szCs w:val="18"/>
              </w:rPr>
            </w:pPr>
            <w:r>
              <w:rPr>
                <w:rFonts w:hint="eastAsia" w:ascii="宋体" w:hAnsi="宋体" w:cs="宋体"/>
                <w:b/>
                <w:bCs/>
                <w:sz w:val="18"/>
                <w:szCs w:val="18"/>
              </w:rPr>
              <w:t>项目承担单位</w:t>
            </w:r>
          </w:p>
        </w:tc>
        <w:tc>
          <w:tcPr>
            <w:tcW w:w="666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sz w:val="18"/>
                <w:szCs w:val="18"/>
              </w:rPr>
            </w:pPr>
            <w:r>
              <w:rPr>
                <w:rFonts w:hint="eastAsia" w:ascii="宋体" w:hAnsi="宋体" w:cs="宋体"/>
                <w:b/>
                <w:bCs/>
                <w:sz w:val="18"/>
                <w:szCs w:val="18"/>
              </w:rPr>
              <w:t>标准情况简要说明</w:t>
            </w:r>
          </w:p>
        </w:tc>
      </w:tr>
      <w:tr>
        <w:tblPrEx>
          <w:tblLayout w:type="fixed"/>
          <w:tblCellMar>
            <w:top w:w="0" w:type="dxa"/>
            <w:left w:w="108" w:type="dxa"/>
            <w:bottom w:w="0" w:type="dxa"/>
            <w:right w:w="108" w:type="dxa"/>
          </w:tblCellMar>
        </w:tblPrEx>
        <w:trPr>
          <w:trHeight w:val="285" w:hRule="atLeast"/>
          <w:jc w:val="center"/>
        </w:trPr>
        <w:tc>
          <w:tcPr>
            <w:tcW w:w="15274" w:type="dxa"/>
            <w:gridSpan w:val="9"/>
            <w:tcBorders>
              <w:top w:val="single" w:color="000000" w:sz="4" w:space="0"/>
              <w:left w:val="single" w:color="000000" w:sz="4" w:space="0"/>
              <w:bottom w:val="single" w:color="000000" w:sz="4" w:space="0"/>
              <w:right w:val="single" w:color="000000" w:sz="4" w:space="0"/>
            </w:tcBorders>
            <w:vAlign w:val="top"/>
          </w:tcPr>
          <w:p>
            <w:pPr>
              <w:jc w:val="left"/>
              <w:rPr>
                <w:rFonts w:ascii="宋体" w:hAnsi="宋体" w:cs="宋体"/>
                <w:sz w:val="18"/>
                <w:szCs w:val="18"/>
              </w:rPr>
            </w:pPr>
            <w:r>
              <w:rPr>
                <w:rFonts w:hint="eastAsia" w:ascii="宋体" w:hAnsi="宋体" w:cs="宋体"/>
                <w:b/>
                <w:bCs/>
                <w:sz w:val="18"/>
                <w:szCs w:val="18"/>
                <w:lang w:eastAsia="zh-CN"/>
              </w:rPr>
              <w:t>电子</w:t>
            </w:r>
            <w:r>
              <w:rPr>
                <w:rFonts w:hint="eastAsia" w:ascii="宋体" w:hAnsi="宋体" w:cs="宋体"/>
                <w:b/>
                <w:bCs/>
                <w:sz w:val="18"/>
                <w:szCs w:val="18"/>
              </w:rPr>
              <w:t>行业</w:t>
            </w:r>
          </w:p>
        </w:tc>
      </w:tr>
      <w:tr>
        <w:tblPrEx>
          <w:tblLayout w:type="fixed"/>
          <w:tblCellMar>
            <w:top w:w="0" w:type="dxa"/>
            <w:left w:w="108" w:type="dxa"/>
            <w:bottom w:w="0" w:type="dxa"/>
            <w:right w:w="108" w:type="dxa"/>
          </w:tblCellMar>
        </w:tblPrEx>
        <w:trPr>
          <w:trHeight w:val="285" w:hRule="atLeast"/>
          <w:jc w:val="center"/>
        </w:trPr>
        <w:tc>
          <w:tcPr>
            <w:tcW w:w="469" w:type="dxa"/>
            <w:tcBorders>
              <w:top w:val="single" w:color="000000" w:sz="4" w:space="0"/>
              <w:left w:val="single" w:color="000000" w:sz="4" w:space="0"/>
              <w:bottom w:val="single" w:color="000000" w:sz="4" w:space="0"/>
              <w:right w:val="single" w:color="000000" w:sz="4" w:space="0"/>
            </w:tcBorders>
            <w:shd w:val="clear" w:color="auto" w:fill="auto"/>
            <w:vAlign w:val="top"/>
          </w:tcPr>
          <w:p>
            <w:pPr>
              <w:numPr>
                <w:ilvl w:val="0"/>
                <w:numId w:val="1"/>
              </w:numPr>
              <w:jc w:val="left"/>
              <w:rPr>
                <w:rFonts w:hint="eastAsia" w:ascii="宋体" w:hAnsi="宋体" w:cs="宋体"/>
                <w:sz w:val="18"/>
                <w:szCs w:val="18"/>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cs="宋体"/>
                <w:b w:val="0"/>
                <w:bCs w:val="0"/>
                <w:sz w:val="18"/>
                <w:szCs w:val="18"/>
                <w:lang w:val="en-US" w:eastAsia="zh-CN"/>
              </w:rPr>
            </w:pPr>
            <w:r>
              <w:rPr>
                <w:rFonts w:hint="eastAsia" w:ascii="宋体" w:hAnsi="宋体" w:cs="宋体"/>
                <w:b w:val="0"/>
                <w:bCs w:val="0"/>
                <w:sz w:val="18"/>
                <w:szCs w:val="18"/>
              </w:rPr>
              <w:t>电子信息设备安装工程抗震技术规范</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cs="宋体"/>
                <w:b w:val="0"/>
                <w:bCs w:val="0"/>
                <w:sz w:val="18"/>
                <w:szCs w:val="18"/>
                <w:lang w:val="en-US" w:eastAsia="zh-CN"/>
              </w:rPr>
            </w:pPr>
            <w:r>
              <w:rPr>
                <w:rFonts w:hint="eastAsia" w:ascii="宋体" w:hAnsi="宋体" w:cs="宋体"/>
                <w:b w:val="0"/>
                <w:bCs w:val="0"/>
                <w:sz w:val="18"/>
                <w:szCs w:val="18"/>
                <w:lang w:val="en-US" w:eastAsia="zh-CN"/>
              </w:rPr>
              <w:t>Technical code for seismic resistance of electronic information equipments installation engineering</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宋体" w:hAnsi="宋体" w:cs="宋体"/>
                <w:b w:val="0"/>
                <w:bCs w:val="0"/>
                <w:sz w:val="18"/>
                <w:szCs w:val="18"/>
                <w:lang w:val="en-US" w:eastAsia="zh-CN"/>
              </w:rPr>
            </w:pPr>
            <w:r>
              <w:rPr>
                <w:rFonts w:hint="eastAsia" w:ascii="宋体" w:hAnsi="宋体" w:cs="宋体"/>
                <w:b w:val="0"/>
                <w:bCs w:val="0"/>
                <w:sz w:val="18"/>
                <w:szCs w:val="18"/>
              </w:rPr>
              <w:t>英文</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cs="宋体"/>
                <w:b w:val="0"/>
                <w:bCs w:val="0"/>
                <w:sz w:val="18"/>
                <w:szCs w:val="18"/>
                <w:lang w:val="en-US" w:eastAsia="zh-CN"/>
              </w:rPr>
            </w:pPr>
            <w:r>
              <w:rPr>
                <w:rFonts w:hint="eastAsia" w:ascii="宋体" w:hAnsi="宋体" w:cs="宋体"/>
                <w:b w:val="0"/>
                <w:bCs w:val="0"/>
                <w:sz w:val="18"/>
                <w:szCs w:val="18"/>
                <w:lang w:val="en-US" w:eastAsia="zh-CN"/>
              </w:rPr>
              <w:t>中文/外文标准同步研制</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宋体" w:hAnsi="宋体" w:cs="宋体"/>
                <w:b w:val="0"/>
                <w:bCs w:val="0"/>
                <w:sz w:val="18"/>
                <w:szCs w:val="18"/>
                <w:lang w:val="en-US" w:eastAsia="zh-CN"/>
              </w:rPr>
            </w:pP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cs="宋体"/>
                <w:b w:val="0"/>
                <w:bCs w:val="0"/>
                <w:sz w:val="18"/>
                <w:szCs w:val="18"/>
                <w:lang w:val="en-US" w:eastAsia="zh-CN"/>
              </w:rPr>
            </w:pPr>
            <w:r>
              <w:rPr>
                <w:rFonts w:hint="eastAsia" w:ascii="宋体" w:hAnsi="宋体" w:cs="宋体"/>
                <w:b w:val="0"/>
                <w:bCs w:val="0"/>
                <w:sz w:val="18"/>
                <w:szCs w:val="18"/>
              </w:rPr>
              <w:t>工业和信息化部电子工业标准化研究院电子工程标准定额站</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cs="宋体"/>
                <w:b w:val="0"/>
                <w:bCs w:val="0"/>
                <w:sz w:val="18"/>
                <w:szCs w:val="18"/>
                <w:lang w:val="en-US" w:eastAsia="zh-CN"/>
              </w:rPr>
            </w:pPr>
            <w:r>
              <w:rPr>
                <w:rFonts w:hint="eastAsia" w:ascii="宋体" w:hAnsi="宋体" w:cs="宋体"/>
                <w:b w:val="0"/>
                <w:bCs w:val="0"/>
                <w:sz w:val="18"/>
                <w:szCs w:val="18"/>
              </w:rPr>
              <w:t>盛年科技有限公司</w:t>
            </w:r>
          </w:p>
        </w:tc>
        <w:tc>
          <w:tcPr>
            <w:tcW w:w="666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cs="宋体"/>
                <w:b w:val="0"/>
                <w:bCs w:val="0"/>
                <w:sz w:val="18"/>
                <w:szCs w:val="18"/>
                <w:lang w:val="en-US" w:eastAsia="zh-CN"/>
              </w:rPr>
            </w:pPr>
            <w:r>
              <w:rPr>
                <w:rFonts w:hint="eastAsia" w:ascii="宋体" w:hAnsi="宋体" w:cs="宋体"/>
                <w:b w:val="0"/>
                <w:bCs w:val="0"/>
                <w:sz w:val="18"/>
                <w:szCs w:val="18"/>
                <w:lang w:val="en-US" w:eastAsia="zh-CN"/>
              </w:rPr>
              <w:t>电子信息设备是对信息进行采集、加工、存储、传输、检索等处理设备，是目前科技前沿领域，在电路物理、航空航天、机械自动化等领域都有广泛的运用，也是国家经济发展的重要动力源。一旦地震造成电子设备损坏、信息系统中断或信息丢失，会导致金融、电力、交通等行业被迫中断，造成社会功能瘫痪，影响灾后救援和灾后恢复。本规范对发展电子信息设备的防震减灾关键科学与技术，保障电子信息设备的安全建设和运营都具有重要意义。国际上目前还没有相应的标准可参照。</w:t>
            </w:r>
          </w:p>
          <w:p>
            <w:pPr>
              <w:jc w:val="left"/>
              <w:rPr>
                <w:rFonts w:hint="eastAsia" w:ascii="宋体" w:hAnsi="宋体" w:cs="宋体"/>
                <w:b w:val="0"/>
                <w:bCs w:val="0"/>
                <w:sz w:val="18"/>
                <w:szCs w:val="18"/>
                <w:lang w:val="en-US" w:eastAsia="zh-CN"/>
              </w:rPr>
            </w:pPr>
            <w:r>
              <w:rPr>
                <w:rFonts w:hint="eastAsia" w:ascii="宋体" w:hAnsi="宋体" w:cs="宋体"/>
                <w:b w:val="0"/>
                <w:bCs w:val="0"/>
                <w:sz w:val="18"/>
                <w:szCs w:val="18"/>
                <w:lang w:val="en-US" w:eastAsia="zh-CN"/>
              </w:rPr>
              <w:t>本规范编制结合“一带一路”的国家倡议，在研究国外标准的基础上，结合国内现有技术水平制定，即满足标准的先进性，又满足标准的经济性。该规范技术将达到国际先进水平，能够对行业转型提供引领、规范作用。</w:t>
            </w:r>
          </w:p>
          <w:p>
            <w:pPr>
              <w:jc w:val="left"/>
              <w:rPr>
                <w:rFonts w:hint="eastAsia" w:ascii="宋体" w:hAnsi="宋体" w:cs="宋体"/>
                <w:b w:val="0"/>
                <w:bCs w:val="0"/>
                <w:sz w:val="18"/>
                <w:szCs w:val="18"/>
                <w:lang w:val="en-US" w:eastAsia="zh-CN"/>
              </w:rPr>
            </w:pPr>
            <w:r>
              <w:rPr>
                <w:rFonts w:hint="eastAsia" w:ascii="宋体" w:hAnsi="宋体" w:cs="宋体"/>
                <w:b w:val="0"/>
                <w:bCs w:val="0"/>
                <w:sz w:val="18"/>
                <w:szCs w:val="18"/>
                <w:lang w:val="en-US" w:eastAsia="zh-CN"/>
              </w:rPr>
              <w:t>目前，我国对外工程正在积极转型发展方式，中长期发展战略是巩固并扩大现有的比较趋势向“高科技、高附加值和高利润”的领域发展，将本规范国际化，使更多国际工程项目接受并采用本规范，一方面有助于获得更大的高端市场，另一方面也有助于在项目运作中发挥我国现有的优势，有效控制风险，创造更大收益。</w:t>
            </w:r>
          </w:p>
        </w:tc>
      </w:tr>
      <w:tr>
        <w:tblPrEx>
          <w:tblLayout w:type="fixed"/>
          <w:tblCellMar>
            <w:top w:w="0" w:type="dxa"/>
            <w:left w:w="108" w:type="dxa"/>
            <w:bottom w:w="0" w:type="dxa"/>
            <w:right w:w="108" w:type="dxa"/>
          </w:tblCellMar>
        </w:tblPrEx>
        <w:trPr>
          <w:trHeight w:val="285" w:hRule="atLeast"/>
          <w:jc w:val="center"/>
        </w:trPr>
        <w:tc>
          <w:tcPr>
            <w:tcW w:w="15274" w:type="dxa"/>
            <w:gridSpan w:val="9"/>
            <w:tcBorders>
              <w:top w:val="single" w:color="000000" w:sz="4" w:space="0"/>
              <w:left w:val="single" w:color="000000" w:sz="4" w:space="0"/>
              <w:bottom w:val="single" w:color="000000" w:sz="4" w:space="0"/>
              <w:right w:val="single" w:color="000000" w:sz="4" w:space="0"/>
            </w:tcBorders>
            <w:vAlign w:val="top"/>
          </w:tcPr>
          <w:p>
            <w:pPr>
              <w:jc w:val="left"/>
              <w:rPr>
                <w:rFonts w:ascii="宋体" w:hAnsi="宋体" w:cs="宋体"/>
                <w:sz w:val="18"/>
                <w:szCs w:val="18"/>
              </w:rPr>
            </w:pPr>
            <w:r>
              <w:rPr>
                <w:rFonts w:hint="eastAsia" w:ascii="宋体" w:hAnsi="宋体" w:cs="宋体"/>
                <w:b/>
                <w:bCs/>
                <w:sz w:val="18"/>
                <w:szCs w:val="18"/>
                <w:lang w:eastAsia="zh-CN"/>
              </w:rPr>
              <w:t>通信</w:t>
            </w:r>
            <w:r>
              <w:rPr>
                <w:rFonts w:hint="eastAsia" w:ascii="宋体" w:hAnsi="宋体" w:cs="宋体"/>
                <w:b/>
                <w:bCs/>
                <w:sz w:val="18"/>
                <w:szCs w:val="18"/>
              </w:rPr>
              <w:t>行业</w:t>
            </w:r>
          </w:p>
        </w:tc>
      </w:tr>
      <w:tr>
        <w:tblPrEx>
          <w:tblLayout w:type="fixed"/>
          <w:tblCellMar>
            <w:top w:w="0" w:type="dxa"/>
            <w:left w:w="108" w:type="dxa"/>
            <w:bottom w:w="0" w:type="dxa"/>
            <w:right w:w="108" w:type="dxa"/>
          </w:tblCellMar>
        </w:tblPrEx>
        <w:trPr>
          <w:trHeight w:val="285" w:hRule="atLeast"/>
          <w:jc w:val="center"/>
        </w:trPr>
        <w:tc>
          <w:tcPr>
            <w:tcW w:w="469" w:type="dxa"/>
            <w:tcBorders>
              <w:top w:val="single" w:color="000000" w:sz="4" w:space="0"/>
              <w:left w:val="single" w:color="000000" w:sz="4" w:space="0"/>
              <w:bottom w:val="single" w:color="000000" w:sz="4" w:space="0"/>
              <w:right w:val="single" w:color="000000" w:sz="4" w:space="0"/>
            </w:tcBorders>
            <w:shd w:val="clear" w:color="auto" w:fill="auto"/>
            <w:vAlign w:val="top"/>
          </w:tcPr>
          <w:p>
            <w:pPr>
              <w:numPr>
                <w:ilvl w:val="0"/>
                <w:numId w:val="1"/>
              </w:numPr>
              <w:jc w:val="left"/>
              <w:rPr>
                <w:rFonts w:hint="eastAsia" w:ascii="宋体" w:hAnsi="宋体" w:cs="宋体"/>
                <w:sz w:val="18"/>
                <w:szCs w:val="18"/>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cs="宋体"/>
                <w:b w:val="0"/>
                <w:bCs w:val="0"/>
                <w:sz w:val="18"/>
                <w:szCs w:val="18"/>
                <w:lang w:val="en-US" w:eastAsia="zh-CN"/>
              </w:rPr>
            </w:pPr>
            <w:r>
              <w:rPr>
                <w:rFonts w:hint="eastAsia" w:ascii="宋体" w:hAnsi="宋体" w:cs="宋体"/>
                <w:b w:val="0"/>
                <w:bCs w:val="0"/>
                <w:sz w:val="18"/>
                <w:szCs w:val="18"/>
                <w:lang w:val="en-US" w:eastAsia="zh-CN"/>
              </w:rPr>
              <w:t>基于SDN的宽带接入网的应用场景及需求</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cs="宋体"/>
                <w:b w:val="0"/>
                <w:bCs w:val="0"/>
                <w:sz w:val="18"/>
                <w:szCs w:val="18"/>
                <w:lang w:val="en-US" w:eastAsia="zh-CN"/>
              </w:rPr>
            </w:pPr>
            <w:r>
              <w:rPr>
                <w:rFonts w:hint="eastAsia" w:ascii="宋体" w:hAnsi="宋体" w:cs="宋体"/>
                <w:b w:val="0"/>
                <w:bCs w:val="0"/>
                <w:sz w:val="18"/>
                <w:szCs w:val="18"/>
                <w:lang w:val="en-US" w:eastAsia="zh-CN"/>
              </w:rPr>
              <w:t>Application scenarios and requirements for SDN-based broadband access network</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cs="宋体"/>
                <w:b w:val="0"/>
                <w:bCs w:val="0"/>
                <w:sz w:val="18"/>
                <w:szCs w:val="18"/>
                <w:lang w:val="en-US" w:eastAsia="zh-CN"/>
              </w:rPr>
            </w:pPr>
            <w:r>
              <w:rPr>
                <w:rFonts w:hint="eastAsia" w:ascii="宋体" w:hAnsi="宋体" w:cs="宋体"/>
                <w:b w:val="0"/>
                <w:bCs w:val="0"/>
                <w:sz w:val="18"/>
                <w:szCs w:val="18"/>
                <w:lang w:val="en-US" w:eastAsia="zh-CN"/>
              </w:rPr>
              <w:t>英文</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cs="宋体"/>
                <w:b w:val="0"/>
                <w:bCs w:val="0"/>
                <w:sz w:val="18"/>
                <w:szCs w:val="18"/>
                <w:lang w:val="en-US" w:eastAsia="zh-CN"/>
              </w:rPr>
            </w:pPr>
            <w:r>
              <w:rPr>
                <w:rFonts w:hint="eastAsia" w:ascii="宋体" w:hAnsi="宋体" w:cs="宋体"/>
                <w:b w:val="0"/>
                <w:bCs w:val="0"/>
                <w:sz w:val="18"/>
                <w:szCs w:val="18"/>
                <w:lang w:val="en-US" w:eastAsia="zh-CN"/>
              </w:rPr>
              <w:t>翻译已有标准</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宋体" w:hAnsi="宋体" w:cs="宋体"/>
                <w:b w:val="0"/>
                <w:bCs w:val="0"/>
                <w:sz w:val="18"/>
                <w:szCs w:val="18"/>
                <w:lang w:val="en-US" w:eastAsia="zh-CN"/>
              </w:rPr>
            </w:pPr>
            <w:r>
              <w:rPr>
                <w:rFonts w:hint="eastAsia" w:ascii="宋体" w:hAnsi="宋体" w:cs="宋体"/>
                <w:b w:val="0"/>
                <w:bCs w:val="0"/>
                <w:sz w:val="18"/>
                <w:szCs w:val="18"/>
                <w:lang w:val="en-US" w:eastAsia="zh-CN"/>
              </w:rPr>
              <w:t>YD/T 3343-2018</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cs="宋体"/>
                <w:b w:val="0"/>
                <w:bCs w:val="0"/>
                <w:sz w:val="18"/>
                <w:szCs w:val="18"/>
                <w:lang w:val="en-US" w:eastAsia="zh-CN"/>
              </w:rPr>
            </w:pPr>
            <w:r>
              <w:rPr>
                <w:rFonts w:hint="eastAsia" w:ascii="宋体" w:hAnsi="宋体" w:cs="宋体"/>
                <w:b w:val="0"/>
                <w:bCs w:val="0"/>
                <w:sz w:val="18"/>
                <w:szCs w:val="18"/>
                <w:lang w:val="en-US" w:eastAsia="zh-CN"/>
              </w:rPr>
              <w:t>中国通信标准化协会</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cs="宋体"/>
                <w:b w:val="0"/>
                <w:bCs w:val="0"/>
                <w:sz w:val="18"/>
                <w:szCs w:val="18"/>
                <w:lang w:val="en-US" w:eastAsia="zh-CN"/>
              </w:rPr>
            </w:pPr>
            <w:r>
              <w:rPr>
                <w:rFonts w:hint="eastAsia" w:ascii="宋体" w:hAnsi="宋体" w:cs="宋体"/>
                <w:b w:val="0"/>
                <w:bCs w:val="0"/>
                <w:sz w:val="18"/>
                <w:szCs w:val="18"/>
                <w:lang w:val="en-US" w:eastAsia="zh-CN"/>
              </w:rPr>
              <w:t>中国电信集团有限公司</w:t>
            </w:r>
          </w:p>
        </w:tc>
        <w:tc>
          <w:tcPr>
            <w:tcW w:w="666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cs="宋体"/>
                <w:b w:val="0"/>
                <w:bCs w:val="0"/>
                <w:sz w:val="18"/>
                <w:szCs w:val="18"/>
                <w:lang w:val="en-US" w:eastAsia="zh-CN"/>
              </w:rPr>
            </w:pPr>
            <w:r>
              <w:rPr>
                <w:rFonts w:hint="eastAsia" w:ascii="宋体" w:hAnsi="宋体" w:cs="宋体"/>
                <w:b w:val="0"/>
                <w:bCs w:val="0"/>
                <w:sz w:val="18"/>
                <w:szCs w:val="18"/>
                <w:lang w:val="en-US" w:eastAsia="zh-CN"/>
              </w:rPr>
              <w:t>近年来，SDN（软件定义网络）已从理论研究阶段逐步进入到商用部署阶段，应用的领域也从最初的数据中心和数据中心互联逐步扩展到宽带接入网络中。国内以FTTx为主的宽带接入领域中引入SDN技术的场景和需求，已经形成了行业标准，将能帮助国内外运营商在接入网引入基于SDN的虚拟化、集中管理和能力开放等特性，可有效降低接入网的CAPEX和OPEX，提升用户体验，促进业务创新。统一的控制协议能够更好的实现集中管控和能力开放，帮助其网络建设和业务发展。</w:t>
            </w:r>
          </w:p>
        </w:tc>
      </w:tr>
      <w:tr>
        <w:tblPrEx>
          <w:tblLayout w:type="fixed"/>
          <w:tblCellMar>
            <w:top w:w="0" w:type="dxa"/>
            <w:left w:w="108" w:type="dxa"/>
            <w:bottom w:w="0" w:type="dxa"/>
            <w:right w:w="108" w:type="dxa"/>
          </w:tblCellMar>
        </w:tblPrEx>
        <w:trPr>
          <w:trHeight w:val="285" w:hRule="atLeast"/>
          <w:jc w:val="center"/>
        </w:trPr>
        <w:tc>
          <w:tcPr>
            <w:tcW w:w="469" w:type="dxa"/>
            <w:tcBorders>
              <w:top w:val="single" w:color="000000" w:sz="4" w:space="0"/>
              <w:left w:val="single" w:color="000000" w:sz="4" w:space="0"/>
              <w:bottom w:val="single" w:color="000000" w:sz="4" w:space="0"/>
              <w:right w:val="single" w:color="000000" w:sz="4" w:space="0"/>
            </w:tcBorders>
            <w:shd w:val="clear" w:color="auto" w:fill="auto"/>
            <w:vAlign w:val="top"/>
          </w:tcPr>
          <w:p>
            <w:pPr>
              <w:numPr>
                <w:ilvl w:val="0"/>
                <w:numId w:val="1"/>
              </w:numPr>
              <w:jc w:val="left"/>
              <w:rPr>
                <w:rFonts w:hint="eastAsia" w:ascii="宋体" w:hAnsi="宋体" w:cs="宋体"/>
                <w:sz w:val="18"/>
                <w:szCs w:val="18"/>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cs="宋体"/>
                <w:b w:val="0"/>
                <w:bCs w:val="0"/>
                <w:sz w:val="18"/>
                <w:szCs w:val="18"/>
                <w:lang w:val="en-US" w:eastAsia="zh-CN"/>
              </w:rPr>
            </w:pPr>
            <w:r>
              <w:rPr>
                <w:rFonts w:hint="eastAsia" w:ascii="宋体" w:hAnsi="宋体" w:cs="宋体"/>
                <w:b w:val="0"/>
                <w:bCs w:val="0"/>
                <w:sz w:val="18"/>
                <w:szCs w:val="18"/>
                <w:lang w:val="en-US" w:eastAsia="zh-CN"/>
              </w:rPr>
              <w:t>xPON光收发合一模块技术条件 第8部分： 用于GPON和XG-PON共存的光线路终端（OLT）的光收发合一模块</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cs="宋体"/>
                <w:b w:val="0"/>
                <w:bCs w:val="0"/>
                <w:sz w:val="18"/>
                <w:szCs w:val="18"/>
                <w:lang w:val="en-US" w:eastAsia="zh-CN"/>
              </w:rPr>
            </w:pPr>
            <w:r>
              <w:rPr>
                <w:rFonts w:hint="eastAsia" w:ascii="宋体" w:hAnsi="宋体" w:cs="宋体"/>
                <w:b w:val="0"/>
                <w:bCs w:val="0"/>
                <w:sz w:val="18"/>
                <w:szCs w:val="18"/>
                <w:lang w:val="en-US" w:eastAsia="zh-CN"/>
              </w:rPr>
              <w:t>Technical specification optical transceiver module for xPON Part 8:GPON/XG-PON dual mode OLT optical transceiver module</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cs="宋体"/>
                <w:b w:val="0"/>
                <w:bCs w:val="0"/>
                <w:sz w:val="18"/>
                <w:szCs w:val="18"/>
                <w:lang w:val="en-US" w:eastAsia="zh-CN"/>
              </w:rPr>
            </w:pPr>
            <w:r>
              <w:rPr>
                <w:rFonts w:hint="eastAsia" w:ascii="宋体" w:hAnsi="宋体" w:cs="宋体"/>
                <w:b w:val="0"/>
                <w:bCs w:val="0"/>
                <w:sz w:val="18"/>
                <w:szCs w:val="18"/>
                <w:lang w:val="en-US" w:eastAsia="zh-CN"/>
              </w:rPr>
              <w:t>英文</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cs="宋体"/>
                <w:b w:val="0"/>
                <w:bCs w:val="0"/>
                <w:sz w:val="18"/>
                <w:szCs w:val="18"/>
                <w:lang w:val="en-US" w:eastAsia="zh-CN"/>
              </w:rPr>
            </w:pPr>
            <w:r>
              <w:rPr>
                <w:rFonts w:hint="eastAsia" w:ascii="宋体" w:hAnsi="宋体" w:cs="宋体"/>
                <w:b w:val="0"/>
                <w:bCs w:val="0"/>
                <w:sz w:val="18"/>
                <w:szCs w:val="18"/>
                <w:lang w:val="en-US" w:eastAsia="zh-CN"/>
              </w:rPr>
              <w:t>翻译已有标准</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宋体" w:hAnsi="宋体" w:cs="宋体"/>
                <w:b w:val="0"/>
                <w:bCs w:val="0"/>
                <w:sz w:val="18"/>
                <w:szCs w:val="18"/>
                <w:lang w:val="en-US" w:eastAsia="zh-CN"/>
              </w:rPr>
            </w:pPr>
            <w:r>
              <w:rPr>
                <w:rFonts w:hint="eastAsia" w:ascii="宋体" w:hAnsi="宋体" w:cs="宋体"/>
                <w:b w:val="0"/>
                <w:bCs w:val="0"/>
                <w:sz w:val="18"/>
                <w:szCs w:val="18"/>
                <w:lang w:val="en-US" w:eastAsia="zh-CN"/>
              </w:rPr>
              <w:t>YD/T 1688.8-2018</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cs="宋体"/>
                <w:b w:val="0"/>
                <w:bCs w:val="0"/>
                <w:sz w:val="18"/>
                <w:szCs w:val="18"/>
                <w:lang w:val="en-US" w:eastAsia="zh-CN"/>
              </w:rPr>
            </w:pPr>
            <w:r>
              <w:rPr>
                <w:rFonts w:hint="eastAsia" w:ascii="宋体" w:hAnsi="宋体" w:cs="宋体"/>
                <w:b w:val="0"/>
                <w:bCs w:val="0"/>
                <w:sz w:val="18"/>
                <w:szCs w:val="18"/>
                <w:lang w:val="en-US" w:eastAsia="zh-CN"/>
              </w:rPr>
              <w:t>中国通信标准化协会</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cs="宋体"/>
                <w:b w:val="0"/>
                <w:bCs w:val="0"/>
                <w:sz w:val="18"/>
                <w:szCs w:val="18"/>
                <w:lang w:val="en-US" w:eastAsia="zh-CN"/>
              </w:rPr>
            </w:pPr>
            <w:r>
              <w:rPr>
                <w:rFonts w:hint="eastAsia" w:ascii="宋体" w:hAnsi="宋体" w:cs="宋体"/>
                <w:b w:val="0"/>
                <w:bCs w:val="0"/>
                <w:sz w:val="18"/>
                <w:szCs w:val="18"/>
                <w:lang w:val="en-US" w:eastAsia="zh-CN"/>
              </w:rPr>
              <w:t>中国电信集团有限公司</w:t>
            </w:r>
          </w:p>
        </w:tc>
        <w:tc>
          <w:tcPr>
            <w:tcW w:w="666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b w:val="0"/>
                <w:bCs w:val="0"/>
                <w:sz w:val="18"/>
                <w:szCs w:val="18"/>
                <w:lang w:val="en-US" w:eastAsia="zh-CN"/>
              </w:rPr>
            </w:pPr>
            <w:r>
              <w:rPr>
                <w:rFonts w:hint="eastAsia" w:ascii="宋体" w:hAnsi="宋体" w:cs="宋体"/>
                <w:b w:val="0"/>
                <w:bCs w:val="0"/>
                <w:sz w:val="18"/>
                <w:szCs w:val="18"/>
                <w:lang w:val="en-US" w:eastAsia="zh-CN"/>
              </w:rPr>
              <w:t>运营商在建设宽带接入网络的过程中，面临传统GPON网络和新型XG-PON网络共存演进的需求。在GPON网络的大规模应用和XG-PON技术的启用部署过程中，这两种系统在同一个ODN中共存于运营商在工程中提供了较高的要求。而采用GPON和XG-PON1合一光线路终端（OLT）模块的方式，则可以大幅度讲题运营商的部署难度，简化工程施工程序。通过行业标准外文版的制定，可以为国内外需要应用此项技术的需求方，提供包含技术要求、测试方法、试验方法、检验规则、标志、包装、运输和贮存要求等内容在内的完整技术指标集合，用于有效的指导其器件采购、检验和应用部署。</w:t>
            </w:r>
          </w:p>
        </w:tc>
      </w:tr>
      <w:tr>
        <w:tblPrEx>
          <w:tblLayout w:type="fixed"/>
          <w:tblCellMar>
            <w:top w:w="0" w:type="dxa"/>
            <w:left w:w="108" w:type="dxa"/>
            <w:bottom w:w="0" w:type="dxa"/>
            <w:right w:w="108" w:type="dxa"/>
          </w:tblCellMar>
        </w:tblPrEx>
        <w:trPr>
          <w:trHeight w:val="285" w:hRule="atLeast"/>
          <w:jc w:val="center"/>
        </w:trPr>
        <w:tc>
          <w:tcPr>
            <w:tcW w:w="469" w:type="dxa"/>
            <w:tcBorders>
              <w:top w:val="single" w:color="000000" w:sz="4" w:space="0"/>
              <w:left w:val="single" w:color="000000" w:sz="4" w:space="0"/>
              <w:bottom w:val="single" w:color="000000" w:sz="4" w:space="0"/>
              <w:right w:val="single" w:color="000000" w:sz="4" w:space="0"/>
            </w:tcBorders>
            <w:shd w:val="clear" w:color="auto" w:fill="auto"/>
            <w:vAlign w:val="top"/>
          </w:tcPr>
          <w:p>
            <w:pPr>
              <w:numPr>
                <w:ilvl w:val="0"/>
                <w:numId w:val="1"/>
              </w:numPr>
              <w:jc w:val="left"/>
              <w:rPr>
                <w:rFonts w:hint="eastAsia" w:ascii="宋体" w:hAnsi="宋体" w:cs="宋体"/>
                <w:sz w:val="18"/>
                <w:szCs w:val="18"/>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cs="宋体"/>
                <w:b w:val="0"/>
                <w:bCs w:val="0"/>
                <w:sz w:val="18"/>
                <w:szCs w:val="18"/>
                <w:lang w:val="en-US" w:eastAsia="zh-CN"/>
              </w:rPr>
            </w:pPr>
            <w:r>
              <w:rPr>
                <w:rFonts w:hint="eastAsia" w:ascii="宋体" w:hAnsi="宋体" w:cs="宋体"/>
                <w:b w:val="0"/>
                <w:bCs w:val="0"/>
                <w:sz w:val="18"/>
                <w:szCs w:val="18"/>
                <w:lang w:val="en-US" w:eastAsia="zh-CN"/>
              </w:rPr>
              <w:t>运营级NAT444技术要求</w:t>
            </w:r>
          </w:p>
        </w:tc>
        <w:tc>
          <w:tcPr>
            <w:tcW w:w="1578"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cs="宋体"/>
                <w:b w:val="0"/>
                <w:bCs w:val="0"/>
                <w:sz w:val="18"/>
                <w:szCs w:val="18"/>
                <w:lang w:val="en-US" w:eastAsia="zh-CN"/>
              </w:rPr>
            </w:pPr>
            <w:r>
              <w:rPr>
                <w:rFonts w:hint="eastAsia" w:ascii="宋体" w:hAnsi="宋体" w:cs="宋体"/>
                <w:b w:val="0"/>
                <w:bCs w:val="0"/>
                <w:sz w:val="18"/>
                <w:szCs w:val="18"/>
                <w:lang w:val="en-US" w:eastAsia="zh-CN"/>
              </w:rPr>
              <w:t>Technical requitements for Carrier Grade NAT444</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cs="宋体"/>
                <w:b w:val="0"/>
                <w:bCs w:val="0"/>
                <w:sz w:val="18"/>
                <w:szCs w:val="18"/>
                <w:lang w:val="en-US" w:eastAsia="zh-CN"/>
              </w:rPr>
            </w:pPr>
            <w:r>
              <w:rPr>
                <w:rFonts w:hint="eastAsia" w:ascii="宋体" w:hAnsi="宋体" w:cs="宋体"/>
                <w:b w:val="0"/>
                <w:bCs w:val="0"/>
                <w:sz w:val="18"/>
                <w:szCs w:val="18"/>
                <w:lang w:val="en-US" w:eastAsia="zh-CN"/>
              </w:rPr>
              <w:t>英文</w:t>
            </w:r>
          </w:p>
        </w:tc>
        <w:tc>
          <w:tcPr>
            <w:tcW w:w="71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cs="宋体"/>
                <w:b w:val="0"/>
                <w:bCs w:val="0"/>
                <w:sz w:val="18"/>
                <w:szCs w:val="18"/>
                <w:lang w:val="en-US" w:eastAsia="zh-CN"/>
              </w:rPr>
            </w:pPr>
            <w:r>
              <w:rPr>
                <w:rFonts w:hint="eastAsia" w:ascii="宋体" w:hAnsi="宋体" w:cs="宋体"/>
                <w:b w:val="0"/>
                <w:bCs w:val="0"/>
                <w:sz w:val="18"/>
                <w:szCs w:val="18"/>
                <w:lang w:val="en-US" w:eastAsia="zh-CN"/>
              </w:rPr>
              <w:t>翻译已有标准</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default" w:ascii="宋体" w:hAnsi="宋体" w:cs="宋体"/>
                <w:b w:val="0"/>
                <w:bCs w:val="0"/>
                <w:sz w:val="18"/>
                <w:szCs w:val="18"/>
                <w:lang w:val="en-US" w:eastAsia="zh-CN"/>
              </w:rPr>
            </w:pPr>
            <w:r>
              <w:rPr>
                <w:rFonts w:hint="eastAsia" w:ascii="宋体" w:hAnsi="宋体" w:cs="宋体"/>
                <w:b w:val="0"/>
                <w:bCs w:val="0"/>
                <w:sz w:val="18"/>
                <w:szCs w:val="18"/>
                <w:lang w:val="en-US" w:eastAsia="zh-CN"/>
              </w:rPr>
              <w:t>YD/T 2811-2015</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cs="宋体"/>
                <w:b w:val="0"/>
                <w:bCs w:val="0"/>
                <w:sz w:val="18"/>
                <w:szCs w:val="18"/>
                <w:lang w:val="en-US" w:eastAsia="zh-CN"/>
              </w:rPr>
            </w:pPr>
            <w:r>
              <w:rPr>
                <w:rFonts w:hint="eastAsia" w:ascii="宋体" w:hAnsi="宋体" w:cs="宋体"/>
                <w:b w:val="0"/>
                <w:bCs w:val="0"/>
                <w:sz w:val="18"/>
                <w:szCs w:val="18"/>
                <w:lang w:val="en-US" w:eastAsia="zh-CN"/>
              </w:rPr>
              <w:t>中国通信标准化协会</w:t>
            </w:r>
          </w:p>
        </w:tc>
        <w:tc>
          <w:tcPr>
            <w:tcW w:w="1413"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cs="宋体"/>
                <w:b w:val="0"/>
                <w:bCs w:val="0"/>
                <w:sz w:val="18"/>
                <w:szCs w:val="18"/>
                <w:lang w:val="en-US" w:eastAsia="zh-CN"/>
              </w:rPr>
            </w:pPr>
            <w:r>
              <w:rPr>
                <w:rFonts w:hint="eastAsia" w:ascii="宋体" w:hAnsi="宋体" w:cs="宋体"/>
                <w:b w:val="0"/>
                <w:bCs w:val="0"/>
                <w:sz w:val="18"/>
                <w:szCs w:val="18"/>
                <w:lang w:val="en-US" w:eastAsia="zh-CN"/>
              </w:rPr>
              <w:t>中国电信集团有限公司</w:t>
            </w:r>
          </w:p>
        </w:tc>
        <w:tc>
          <w:tcPr>
            <w:tcW w:w="6669"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cs="宋体"/>
                <w:b w:val="0"/>
                <w:bCs w:val="0"/>
                <w:sz w:val="18"/>
                <w:szCs w:val="18"/>
                <w:lang w:val="en-US" w:eastAsia="zh-CN"/>
              </w:rPr>
            </w:pPr>
            <w:r>
              <w:rPr>
                <w:rFonts w:hint="eastAsia" w:ascii="宋体" w:hAnsi="宋体" w:cs="宋体"/>
                <w:b w:val="0"/>
                <w:bCs w:val="0"/>
                <w:sz w:val="18"/>
                <w:szCs w:val="18"/>
                <w:lang w:val="en-US" w:eastAsia="zh-CN"/>
              </w:rPr>
              <w:t>NAT444是国内外电信运营商采用的一种IPv6过渡技术，由IPv6和包括CGN（Carrier Grade NAT，运营级地址转换）功能的IPv4组成，融入了IPv4、NAT、IPv6等技术。通过部署NAT444技术，一方面可以缓解互联网业务持续发展与IPv4地址紧缺之间的矛盾，另一方面能满足用户接入IPv6网络的需求，通过IPv6用户和应用的自然增长实现IPv4向IPv6的平滑迁移。</w:t>
            </w:r>
          </w:p>
          <w:p>
            <w:pPr>
              <w:jc w:val="left"/>
              <w:rPr>
                <w:rFonts w:hint="eastAsia" w:ascii="宋体" w:hAnsi="宋体" w:cs="宋体"/>
                <w:b w:val="0"/>
                <w:bCs w:val="0"/>
                <w:sz w:val="18"/>
                <w:szCs w:val="18"/>
                <w:lang w:val="en-US" w:eastAsia="zh-CN"/>
              </w:rPr>
            </w:pPr>
            <w:r>
              <w:rPr>
                <w:rFonts w:hint="eastAsia" w:ascii="宋体" w:hAnsi="宋体" w:cs="宋体"/>
                <w:b w:val="0"/>
                <w:bCs w:val="0"/>
                <w:sz w:val="18"/>
                <w:szCs w:val="18"/>
                <w:lang w:val="en-US" w:eastAsia="zh-CN"/>
              </w:rPr>
              <w:t>在网络基础设施建设中部署NAT444技术，对宽带接入服务器、用户终端、AAA系统、用户溯源等设备和系统提供了新的要求，而各设备和系统之间需要协同才能完成用户的双栈服务功能。《运营级NAT444技术要求》对NAT444技术进行规范和标准化，得到国内外设备厂商的认可和应用，指导了NAT444设备技术研发，同时有效指导国内运营商IPv6双栈部署，缓解IPv4地址短缺问题，有力的推进网络IPv6演进，奠定了中国在下一代互联网的领先地位。</w:t>
            </w:r>
          </w:p>
          <w:p>
            <w:pPr>
              <w:jc w:val="left"/>
              <w:rPr>
                <w:rFonts w:hint="eastAsia" w:ascii="宋体" w:hAnsi="宋体" w:cs="宋体"/>
                <w:b w:val="0"/>
                <w:bCs w:val="0"/>
                <w:sz w:val="18"/>
                <w:szCs w:val="18"/>
                <w:lang w:val="en-US" w:eastAsia="zh-CN"/>
              </w:rPr>
            </w:pPr>
            <w:r>
              <w:rPr>
                <w:rFonts w:hint="eastAsia" w:ascii="宋体" w:hAnsi="宋体" w:cs="宋体"/>
                <w:b w:val="0"/>
                <w:bCs w:val="0"/>
                <w:sz w:val="18"/>
                <w:szCs w:val="18"/>
                <w:lang w:val="en-US" w:eastAsia="zh-CN"/>
              </w:rPr>
              <w:t>亚洲各国皆面临IPv4地址枯竭难题，《运营级NAT444技术要求》外文版本将更好地将国内成功经验输出，服务于“一带一路”IPv6基础设施的建议和运营，满足国际设备和系统的合作等需求。运营级NAT444技术要求外文版的修订，对于国内外设备商、系统提供商、电信运营商提供IPv6设备和服务具有重要的促进作用，将推进“一带一路”IPv6基础设施的建设和发展。</w:t>
            </w:r>
            <w:bookmarkStart w:id="0" w:name="_GoBack"/>
            <w:bookmarkEnd w:id="0"/>
          </w:p>
        </w:tc>
      </w:tr>
    </w:tbl>
    <w:p>
      <w:pPr>
        <w:widowControl/>
        <w:jc w:val="left"/>
        <w:textAlignment w:val="center"/>
        <w:rPr>
          <w:rFonts w:hint="eastAsia" w:ascii="宋体" w:hAnsi="宋体" w:cs="宋体"/>
          <w:kern w:val="0"/>
          <w:sz w:val="18"/>
          <w:szCs w:val="18"/>
          <w:lang w:bidi="ar"/>
        </w:rPr>
      </w:pPr>
    </w:p>
    <w:sectPr>
      <w:footerReference r:id="rId3" w:type="default"/>
      <w:pgSz w:w="16838" w:h="11906" w:orient="landscape"/>
      <w:pgMar w:top="873" w:right="890" w:bottom="873" w:left="890" w:header="283" w:footer="425" w:gutter="0"/>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CC"/>
    <w:family w:val="swiss"/>
    <w:pitch w:val="default"/>
    <w:sig w:usb0="E0002AFF" w:usb1="C0007843" w:usb2="00000009" w:usb3="00000000" w:csb0="400001FF" w:csb1="FFFF0000"/>
  </w:font>
  <w:font w:name="Calibri">
    <w:panose1 w:val="020F0502020204030204"/>
    <w:charset w:val="CC"/>
    <w:family w:val="swiss"/>
    <w:pitch w:val="default"/>
    <w:sig w:usb0="E00002FF" w:usb1="4000ACFF" w:usb2="00000001" w:usb3="00000000" w:csb0="2000019F" w:csb1="00000000"/>
  </w:font>
  <w:font w:name="Cambria Math">
    <w:panose1 w:val="02040503050406030204"/>
    <w:charset w:val="CC"/>
    <w:family w:val="roman"/>
    <w:pitch w:val="default"/>
    <w:sig w:usb0="E00002FF" w:usb1="420024FF" w:usb2="00000000" w:usb3="00000000" w:csb0="2000019F" w:csb1="00000000"/>
  </w:font>
  <w:font w:name="&quot;Microsoft YaHei">
    <w:altName w:val="Segoe Print"/>
    <w:panose1 w:val="00000000000000000000"/>
    <w:charset w:val="00"/>
    <w:family w:val="roman"/>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方正仿宋简体">
    <w:panose1 w:val="02000000000000000000"/>
    <w:charset w:val="86"/>
    <w:family w:val="script"/>
    <w:pitch w:val="default"/>
    <w:sig w:usb0="A00002BF" w:usb1="184F6CFA" w:usb2="00000012" w:usb3="00000000" w:csb0="00040001" w:csb1="00000000"/>
  </w:font>
  <w:font w:name="Calibri Light">
    <w:panose1 w:val="020F0302020204030204"/>
    <w:charset w:val="00"/>
    <w:family w:val="swiss"/>
    <w:pitch w:val="default"/>
    <w:sig w:usb0="A00002EF" w:usb1="4000207B" w:usb2="00000000" w:usb3="00000000" w:csb0="2000019F" w:csb1="00000000"/>
  </w:font>
  <w:font w:name="PMingLiU">
    <w:panose1 w:val="02020500000000000000"/>
    <w:charset w:val="88"/>
    <w:family w:val="roman"/>
    <w:pitch w:val="default"/>
    <w:sig w:usb0="A00002FF" w:usb1="28CFFCFA" w:usb2="00000016" w:usb3="00000000" w:csb0="0010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035AD"/>
    <w:multiLevelType w:val="singleLevel"/>
    <w:tmpl w:val="501035AD"/>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E6F"/>
    <w:rsid w:val="00033071"/>
    <w:rsid w:val="000411E0"/>
    <w:rsid w:val="00077A24"/>
    <w:rsid w:val="0008236D"/>
    <w:rsid w:val="00084B1B"/>
    <w:rsid w:val="0008689D"/>
    <w:rsid w:val="00095F68"/>
    <w:rsid w:val="000A59EF"/>
    <w:rsid w:val="000B6606"/>
    <w:rsid w:val="000C54C8"/>
    <w:rsid w:val="000E47D1"/>
    <w:rsid w:val="00126B6A"/>
    <w:rsid w:val="00136E7F"/>
    <w:rsid w:val="00175634"/>
    <w:rsid w:val="001A187F"/>
    <w:rsid w:val="001A4F80"/>
    <w:rsid w:val="001B140D"/>
    <w:rsid w:val="001B1B7C"/>
    <w:rsid w:val="001B535A"/>
    <w:rsid w:val="001C01F1"/>
    <w:rsid w:val="001D130C"/>
    <w:rsid w:val="001D52A7"/>
    <w:rsid w:val="001E6C51"/>
    <w:rsid w:val="001E6E57"/>
    <w:rsid w:val="001F1E19"/>
    <w:rsid w:val="001F66AD"/>
    <w:rsid w:val="00200B02"/>
    <w:rsid w:val="00211DB0"/>
    <w:rsid w:val="00213760"/>
    <w:rsid w:val="00215EF0"/>
    <w:rsid w:val="002176D9"/>
    <w:rsid w:val="00235CE1"/>
    <w:rsid w:val="00240EB0"/>
    <w:rsid w:val="00264C55"/>
    <w:rsid w:val="002773A8"/>
    <w:rsid w:val="0028792B"/>
    <w:rsid w:val="002A5217"/>
    <w:rsid w:val="002A5F87"/>
    <w:rsid w:val="002C09D6"/>
    <w:rsid w:val="002C1326"/>
    <w:rsid w:val="002C31DB"/>
    <w:rsid w:val="002C7B03"/>
    <w:rsid w:val="002D69D4"/>
    <w:rsid w:val="002F202B"/>
    <w:rsid w:val="00304621"/>
    <w:rsid w:val="00335F47"/>
    <w:rsid w:val="0033630F"/>
    <w:rsid w:val="0033743F"/>
    <w:rsid w:val="003513FB"/>
    <w:rsid w:val="00360789"/>
    <w:rsid w:val="00366BBB"/>
    <w:rsid w:val="003745F0"/>
    <w:rsid w:val="003A0386"/>
    <w:rsid w:val="003D0CA1"/>
    <w:rsid w:val="004112CE"/>
    <w:rsid w:val="00432D4E"/>
    <w:rsid w:val="00436610"/>
    <w:rsid w:val="004770B0"/>
    <w:rsid w:val="00480968"/>
    <w:rsid w:val="004A5D50"/>
    <w:rsid w:val="004A68E1"/>
    <w:rsid w:val="004A6A09"/>
    <w:rsid w:val="004B4A67"/>
    <w:rsid w:val="004C24C7"/>
    <w:rsid w:val="00501076"/>
    <w:rsid w:val="00510CB4"/>
    <w:rsid w:val="00513107"/>
    <w:rsid w:val="005154B1"/>
    <w:rsid w:val="00517CE1"/>
    <w:rsid w:val="005200F5"/>
    <w:rsid w:val="00544C73"/>
    <w:rsid w:val="00551068"/>
    <w:rsid w:val="00567404"/>
    <w:rsid w:val="00570E79"/>
    <w:rsid w:val="00590DAF"/>
    <w:rsid w:val="005C140A"/>
    <w:rsid w:val="005C5335"/>
    <w:rsid w:val="006007A6"/>
    <w:rsid w:val="00602DDB"/>
    <w:rsid w:val="00627306"/>
    <w:rsid w:val="00650835"/>
    <w:rsid w:val="00661B43"/>
    <w:rsid w:val="00672D48"/>
    <w:rsid w:val="0067381E"/>
    <w:rsid w:val="006866B8"/>
    <w:rsid w:val="006952F8"/>
    <w:rsid w:val="006A58CD"/>
    <w:rsid w:val="006A7E74"/>
    <w:rsid w:val="006C7785"/>
    <w:rsid w:val="006E4AE4"/>
    <w:rsid w:val="0070002B"/>
    <w:rsid w:val="007020CA"/>
    <w:rsid w:val="00705FF2"/>
    <w:rsid w:val="00713941"/>
    <w:rsid w:val="00730BF9"/>
    <w:rsid w:val="007558AB"/>
    <w:rsid w:val="007601C6"/>
    <w:rsid w:val="00797B9A"/>
    <w:rsid w:val="007A6387"/>
    <w:rsid w:val="007B3DF2"/>
    <w:rsid w:val="007C65B3"/>
    <w:rsid w:val="007D07B2"/>
    <w:rsid w:val="007E6D3E"/>
    <w:rsid w:val="00833E3B"/>
    <w:rsid w:val="00847BA9"/>
    <w:rsid w:val="0085041E"/>
    <w:rsid w:val="00853B99"/>
    <w:rsid w:val="008644B0"/>
    <w:rsid w:val="008939BC"/>
    <w:rsid w:val="008E558F"/>
    <w:rsid w:val="00901F8F"/>
    <w:rsid w:val="00906661"/>
    <w:rsid w:val="00922DD5"/>
    <w:rsid w:val="00934CB9"/>
    <w:rsid w:val="00941CAE"/>
    <w:rsid w:val="0095563B"/>
    <w:rsid w:val="009734A1"/>
    <w:rsid w:val="00990389"/>
    <w:rsid w:val="0099156E"/>
    <w:rsid w:val="0099258C"/>
    <w:rsid w:val="00995700"/>
    <w:rsid w:val="009A2E0C"/>
    <w:rsid w:val="009E309C"/>
    <w:rsid w:val="009F1693"/>
    <w:rsid w:val="009F1ECE"/>
    <w:rsid w:val="00A03330"/>
    <w:rsid w:val="00A0603F"/>
    <w:rsid w:val="00A73C1A"/>
    <w:rsid w:val="00A74133"/>
    <w:rsid w:val="00A84D58"/>
    <w:rsid w:val="00A97864"/>
    <w:rsid w:val="00AA0D16"/>
    <w:rsid w:val="00AC32C3"/>
    <w:rsid w:val="00AF1EA5"/>
    <w:rsid w:val="00AF58C7"/>
    <w:rsid w:val="00B0058D"/>
    <w:rsid w:val="00B10076"/>
    <w:rsid w:val="00B1172C"/>
    <w:rsid w:val="00B2020C"/>
    <w:rsid w:val="00B255BB"/>
    <w:rsid w:val="00B34C2B"/>
    <w:rsid w:val="00B41B63"/>
    <w:rsid w:val="00B521C0"/>
    <w:rsid w:val="00B66B6A"/>
    <w:rsid w:val="00B81553"/>
    <w:rsid w:val="00B92951"/>
    <w:rsid w:val="00BB6829"/>
    <w:rsid w:val="00BC07A3"/>
    <w:rsid w:val="00BD54E5"/>
    <w:rsid w:val="00BD587D"/>
    <w:rsid w:val="00BE57D5"/>
    <w:rsid w:val="00BE6CB7"/>
    <w:rsid w:val="00C05759"/>
    <w:rsid w:val="00C15D1F"/>
    <w:rsid w:val="00C215BE"/>
    <w:rsid w:val="00C3521E"/>
    <w:rsid w:val="00CB0679"/>
    <w:rsid w:val="00CD2019"/>
    <w:rsid w:val="00CE03FD"/>
    <w:rsid w:val="00CE2292"/>
    <w:rsid w:val="00CF336B"/>
    <w:rsid w:val="00CF7F7C"/>
    <w:rsid w:val="00D02762"/>
    <w:rsid w:val="00D05D1D"/>
    <w:rsid w:val="00D06C08"/>
    <w:rsid w:val="00D2186F"/>
    <w:rsid w:val="00D517FE"/>
    <w:rsid w:val="00D64BA4"/>
    <w:rsid w:val="00D67F3F"/>
    <w:rsid w:val="00D865B5"/>
    <w:rsid w:val="00D90262"/>
    <w:rsid w:val="00DA5174"/>
    <w:rsid w:val="00DC2B47"/>
    <w:rsid w:val="00DC5DD9"/>
    <w:rsid w:val="00DD0344"/>
    <w:rsid w:val="00DE2470"/>
    <w:rsid w:val="00DF1DD6"/>
    <w:rsid w:val="00DF28D0"/>
    <w:rsid w:val="00E11C16"/>
    <w:rsid w:val="00E16788"/>
    <w:rsid w:val="00E30607"/>
    <w:rsid w:val="00E338C3"/>
    <w:rsid w:val="00E401EA"/>
    <w:rsid w:val="00E51486"/>
    <w:rsid w:val="00E62EF7"/>
    <w:rsid w:val="00E66B78"/>
    <w:rsid w:val="00E824A7"/>
    <w:rsid w:val="00E92E6F"/>
    <w:rsid w:val="00EA077B"/>
    <w:rsid w:val="00EB4D6A"/>
    <w:rsid w:val="00EB7AA8"/>
    <w:rsid w:val="00EB7F39"/>
    <w:rsid w:val="00ED5795"/>
    <w:rsid w:val="00EF05CF"/>
    <w:rsid w:val="00EF4F26"/>
    <w:rsid w:val="00EF576D"/>
    <w:rsid w:val="00F041CF"/>
    <w:rsid w:val="00F044BC"/>
    <w:rsid w:val="00F22F63"/>
    <w:rsid w:val="00F525B1"/>
    <w:rsid w:val="00F67703"/>
    <w:rsid w:val="00F7356E"/>
    <w:rsid w:val="00F76693"/>
    <w:rsid w:val="00F76EED"/>
    <w:rsid w:val="00F8305B"/>
    <w:rsid w:val="00F86B2C"/>
    <w:rsid w:val="00F97978"/>
    <w:rsid w:val="00FB5F67"/>
    <w:rsid w:val="00FD4C09"/>
    <w:rsid w:val="00FE6D0D"/>
    <w:rsid w:val="00FF4403"/>
    <w:rsid w:val="013B3573"/>
    <w:rsid w:val="02457297"/>
    <w:rsid w:val="024A000B"/>
    <w:rsid w:val="026C6ABE"/>
    <w:rsid w:val="02AB7FFE"/>
    <w:rsid w:val="03045FEF"/>
    <w:rsid w:val="04083D6A"/>
    <w:rsid w:val="041377D2"/>
    <w:rsid w:val="04443838"/>
    <w:rsid w:val="04A96187"/>
    <w:rsid w:val="04B71A91"/>
    <w:rsid w:val="04F22CBE"/>
    <w:rsid w:val="05172FA3"/>
    <w:rsid w:val="0525663E"/>
    <w:rsid w:val="0540655C"/>
    <w:rsid w:val="05F46357"/>
    <w:rsid w:val="05FE6637"/>
    <w:rsid w:val="06337495"/>
    <w:rsid w:val="066F35B5"/>
    <w:rsid w:val="07262B62"/>
    <w:rsid w:val="07894095"/>
    <w:rsid w:val="07B0773F"/>
    <w:rsid w:val="089E1590"/>
    <w:rsid w:val="098C3D1D"/>
    <w:rsid w:val="0A64458D"/>
    <w:rsid w:val="0A8C306E"/>
    <w:rsid w:val="0ACA283E"/>
    <w:rsid w:val="0AF025A6"/>
    <w:rsid w:val="0BAF505D"/>
    <w:rsid w:val="0BFC2244"/>
    <w:rsid w:val="0C125590"/>
    <w:rsid w:val="0C87790D"/>
    <w:rsid w:val="0CBF426D"/>
    <w:rsid w:val="0CEA7678"/>
    <w:rsid w:val="0D9F0855"/>
    <w:rsid w:val="0E0829C0"/>
    <w:rsid w:val="0E122066"/>
    <w:rsid w:val="0E3B24BB"/>
    <w:rsid w:val="0E477340"/>
    <w:rsid w:val="0E735FC9"/>
    <w:rsid w:val="0EC35CA3"/>
    <w:rsid w:val="0F227FD0"/>
    <w:rsid w:val="0F752998"/>
    <w:rsid w:val="0F76499A"/>
    <w:rsid w:val="0F8A7703"/>
    <w:rsid w:val="10214C4C"/>
    <w:rsid w:val="105A6A26"/>
    <w:rsid w:val="106D4B25"/>
    <w:rsid w:val="107D5873"/>
    <w:rsid w:val="10E61116"/>
    <w:rsid w:val="1101530E"/>
    <w:rsid w:val="11355FB2"/>
    <w:rsid w:val="11471AF5"/>
    <w:rsid w:val="12353897"/>
    <w:rsid w:val="12506DDD"/>
    <w:rsid w:val="12A972F8"/>
    <w:rsid w:val="12C062F8"/>
    <w:rsid w:val="131868A2"/>
    <w:rsid w:val="133C73AF"/>
    <w:rsid w:val="13F62605"/>
    <w:rsid w:val="141B3E43"/>
    <w:rsid w:val="143C68C9"/>
    <w:rsid w:val="146E73C2"/>
    <w:rsid w:val="147E42EA"/>
    <w:rsid w:val="14F60617"/>
    <w:rsid w:val="156D63A3"/>
    <w:rsid w:val="16082587"/>
    <w:rsid w:val="16645615"/>
    <w:rsid w:val="168B7384"/>
    <w:rsid w:val="16E36A6A"/>
    <w:rsid w:val="174A5355"/>
    <w:rsid w:val="175258EA"/>
    <w:rsid w:val="17EC1F6D"/>
    <w:rsid w:val="17FE1B5A"/>
    <w:rsid w:val="18FD3EE9"/>
    <w:rsid w:val="1927032C"/>
    <w:rsid w:val="192C3410"/>
    <w:rsid w:val="195F657A"/>
    <w:rsid w:val="1A181F57"/>
    <w:rsid w:val="1A845964"/>
    <w:rsid w:val="1AD70938"/>
    <w:rsid w:val="1B1B2D13"/>
    <w:rsid w:val="1B6905B3"/>
    <w:rsid w:val="1B93162A"/>
    <w:rsid w:val="1B9E0743"/>
    <w:rsid w:val="1BDD0F28"/>
    <w:rsid w:val="1BE54C85"/>
    <w:rsid w:val="1C5C5500"/>
    <w:rsid w:val="1D1D469C"/>
    <w:rsid w:val="1D99253B"/>
    <w:rsid w:val="1E6A0EEA"/>
    <w:rsid w:val="1EB35D22"/>
    <w:rsid w:val="1F6B4408"/>
    <w:rsid w:val="1FD46B8E"/>
    <w:rsid w:val="20571528"/>
    <w:rsid w:val="207D03F1"/>
    <w:rsid w:val="20D96C13"/>
    <w:rsid w:val="20E9492F"/>
    <w:rsid w:val="215E203D"/>
    <w:rsid w:val="21F24D6B"/>
    <w:rsid w:val="225B2406"/>
    <w:rsid w:val="2291669D"/>
    <w:rsid w:val="23655888"/>
    <w:rsid w:val="237D08B9"/>
    <w:rsid w:val="23EF7D69"/>
    <w:rsid w:val="24277DFD"/>
    <w:rsid w:val="24340DEB"/>
    <w:rsid w:val="2453218E"/>
    <w:rsid w:val="24A63FD9"/>
    <w:rsid w:val="24A73C8A"/>
    <w:rsid w:val="24C72A9F"/>
    <w:rsid w:val="24F974BD"/>
    <w:rsid w:val="251B7984"/>
    <w:rsid w:val="25437862"/>
    <w:rsid w:val="254B2D53"/>
    <w:rsid w:val="259D25B3"/>
    <w:rsid w:val="25E3535F"/>
    <w:rsid w:val="26400508"/>
    <w:rsid w:val="264777E9"/>
    <w:rsid w:val="268D47F2"/>
    <w:rsid w:val="275C53BD"/>
    <w:rsid w:val="2789097A"/>
    <w:rsid w:val="27D5348A"/>
    <w:rsid w:val="282577BB"/>
    <w:rsid w:val="28356CE7"/>
    <w:rsid w:val="283A4B8C"/>
    <w:rsid w:val="286D135A"/>
    <w:rsid w:val="28EE0D8D"/>
    <w:rsid w:val="28F1640A"/>
    <w:rsid w:val="28F94790"/>
    <w:rsid w:val="29510C43"/>
    <w:rsid w:val="296224C8"/>
    <w:rsid w:val="299557D3"/>
    <w:rsid w:val="29C23817"/>
    <w:rsid w:val="2A2D1FB7"/>
    <w:rsid w:val="2A421F70"/>
    <w:rsid w:val="2A8F11E2"/>
    <w:rsid w:val="2ADA48B9"/>
    <w:rsid w:val="2B693A6A"/>
    <w:rsid w:val="2B741E25"/>
    <w:rsid w:val="2C0A3B92"/>
    <w:rsid w:val="2C113FAE"/>
    <w:rsid w:val="2C143242"/>
    <w:rsid w:val="2C9D4994"/>
    <w:rsid w:val="2CA24D04"/>
    <w:rsid w:val="2D764055"/>
    <w:rsid w:val="2DB41503"/>
    <w:rsid w:val="2DEA4E6B"/>
    <w:rsid w:val="2E4425C8"/>
    <w:rsid w:val="2E513D20"/>
    <w:rsid w:val="2E936326"/>
    <w:rsid w:val="2F004253"/>
    <w:rsid w:val="2F4042D8"/>
    <w:rsid w:val="2F8F170E"/>
    <w:rsid w:val="30091ED3"/>
    <w:rsid w:val="30861210"/>
    <w:rsid w:val="30CF6D0E"/>
    <w:rsid w:val="30F322CC"/>
    <w:rsid w:val="31670366"/>
    <w:rsid w:val="317C2271"/>
    <w:rsid w:val="31C8025F"/>
    <w:rsid w:val="324861BA"/>
    <w:rsid w:val="32D06212"/>
    <w:rsid w:val="333D216B"/>
    <w:rsid w:val="33533BE2"/>
    <w:rsid w:val="33AB27D7"/>
    <w:rsid w:val="34FB18BC"/>
    <w:rsid w:val="351F5D54"/>
    <w:rsid w:val="35276A3B"/>
    <w:rsid w:val="35852017"/>
    <w:rsid w:val="35A5114B"/>
    <w:rsid w:val="36287A15"/>
    <w:rsid w:val="36466FC3"/>
    <w:rsid w:val="3669724C"/>
    <w:rsid w:val="369D0E41"/>
    <w:rsid w:val="369D16A8"/>
    <w:rsid w:val="36E6402E"/>
    <w:rsid w:val="36E921E9"/>
    <w:rsid w:val="36F41F2F"/>
    <w:rsid w:val="36F735B6"/>
    <w:rsid w:val="37463992"/>
    <w:rsid w:val="37E10756"/>
    <w:rsid w:val="380312D6"/>
    <w:rsid w:val="392F0E3A"/>
    <w:rsid w:val="39810CF9"/>
    <w:rsid w:val="39C17A22"/>
    <w:rsid w:val="3A8D2191"/>
    <w:rsid w:val="3B816FE8"/>
    <w:rsid w:val="3B977813"/>
    <w:rsid w:val="3BD615CB"/>
    <w:rsid w:val="3BE14E9B"/>
    <w:rsid w:val="3BF33787"/>
    <w:rsid w:val="3C5A79BE"/>
    <w:rsid w:val="3C6433A2"/>
    <w:rsid w:val="3C6B6094"/>
    <w:rsid w:val="3CB67EA9"/>
    <w:rsid w:val="3CC306E0"/>
    <w:rsid w:val="3D1F3C06"/>
    <w:rsid w:val="3D833F81"/>
    <w:rsid w:val="3DA025D2"/>
    <w:rsid w:val="3DFA4CB7"/>
    <w:rsid w:val="3E3E6F4A"/>
    <w:rsid w:val="3E424E88"/>
    <w:rsid w:val="3EDE715F"/>
    <w:rsid w:val="3F916C24"/>
    <w:rsid w:val="3FE165E3"/>
    <w:rsid w:val="40054EC3"/>
    <w:rsid w:val="40AE4385"/>
    <w:rsid w:val="40C34E74"/>
    <w:rsid w:val="40D36063"/>
    <w:rsid w:val="410D7F1E"/>
    <w:rsid w:val="411104BA"/>
    <w:rsid w:val="41B524A9"/>
    <w:rsid w:val="42117D93"/>
    <w:rsid w:val="423207B2"/>
    <w:rsid w:val="426B7877"/>
    <w:rsid w:val="42DC6FBA"/>
    <w:rsid w:val="431F0CD6"/>
    <w:rsid w:val="44483FBF"/>
    <w:rsid w:val="44503F8B"/>
    <w:rsid w:val="448127E1"/>
    <w:rsid w:val="449441E0"/>
    <w:rsid w:val="44E1472E"/>
    <w:rsid w:val="45510296"/>
    <w:rsid w:val="455F1513"/>
    <w:rsid w:val="45B22D78"/>
    <w:rsid w:val="45C86B9C"/>
    <w:rsid w:val="45E463D4"/>
    <w:rsid w:val="46184234"/>
    <w:rsid w:val="46D22816"/>
    <w:rsid w:val="46EA0372"/>
    <w:rsid w:val="46FA175A"/>
    <w:rsid w:val="472E7618"/>
    <w:rsid w:val="47342EBD"/>
    <w:rsid w:val="47935AED"/>
    <w:rsid w:val="47B339A2"/>
    <w:rsid w:val="47D2735D"/>
    <w:rsid w:val="485E3805"/>
    <w:rsid w:val="485E5F9F"/>
    <w:rsid w:val="48D801AF"/>
    <w:rsid w:val="48E5112C"/>
    <w:rsid w:val="49370EF1"/>
    <w:rsid w:val="49F66CDE"/>
    <w:rsid w:val="4A434BD6"/>
    <w:rsid w:val="4A677737"/>
    <w:rsid w:val="4B5E459C"/>
    <w:rsid w:val="4C1D4291"/>
    <w:rsid w:val="4C4E122E"/>
    <w:rsid w:val="4C764793"/>
    <w:rsid w:val="4CAA03CD"/>
    <w:rsid w:val="4CB23BE6"/>
    <w:rsid w:val="4D3B07F6"/>
    <w:rsid w:val="4D496C46"/>
    <w:rsid w:val="4D7B3310"/>
    <w:rsid w:val="4DCA21A1"/>
    <w:rsid w:val="4E282929"/>
    <w:rsid w:val="4E583DA5"/>
    <w:rsid w:val="4E7D2E9A"/>
    <w:rsid w:val="4E9800E4"/>
    <w:rsid w:val="4EC819BF"/>
    <w:rsid w:val="4F282B4A"/>
    <w:rsid w:val="4F683007"/>
    <w:rsid w:val="4FC05917"/>
    <w:rsid w:val="4FDD16DB"/>
    <w:rsid w:val="50234FEB"/>
    <w:rsid w:val="50704F7B"/>
    <w:rsid w:val="50A44745"/>
    <w:rsid w:val="50C5724C"/>
    <w:rsid w:val="5144434B"/>
    <w:rsid w:val="51C05850"/>
    <w:rsid w:val="51E209BF"/>
    <w:rsid w:val="52412038"/>
    <w:rsid w:val="524E6E83"/>
    <w:rsid w:val="5250134F"/>
    <w:rsid w:val="52735020"/>
    <w:rsid w:val="529357FE"/>
    <w:rsid w:val="5304192B"/>
    <w:rsid w:val="54241D0C"/>
    <w:rsid w:val="54644B38"/>
    <w:rsid w:val="54EC0C7A"/>
    <w:rsid w:val="55624938"/>
    <w:rsid w:val="556B44D1"/>
    <w:rsid w:val="5639431D"/>
    <w:rsid w:val="578E708D"/>
    <w:rsid w:val="57F416B4"/>
    <w:rsid w:val="585B6F4C"/>
    <w:rsid w:val="586D3A24"/>
    <w:rsid w:val="589C061F"/>
    <w:rsid w:val="59230DA2"/>
    <w:rsid w:val="59233389"/>
    <w:rsid w:val="594C7F73"/>
    <w:rsid w:val="59A2633D"/>
    <w:rsid w:val="59E27C6A"/>
    <w:rsid w:val="59FB6E16"/>
    <w:rsid w:val="5AEF6C15"/>
    <w:rsid w:val="5AFB3401"/>
    <w:rsid w:val="5B0344B9"/>
    <w:rsid w:val="5B7D24CA"/>
    <w:rsid w:val="5B9939ED"/>
    <w:rsid w:val="5BC53072"/>
    <w:rsid w:val="5BF50915"/>
    <w:rsid w:val="5C0F7E83"/>
    <w:rsid w:val="5C775F0C"/>
    <w:rsid w:val="5CDE148E"/>
    <w:rsid w:val="5CED01C4"/>
    <w:rsid w:val="5DAC7451"/>
    <w:rsid w:val="5DC038CA"/>
    <w:rsid w:val="5E6B687C"/>
    <w:rsid w:val="5E6E1B83"/>
    <w:rsid w:val="5E865F7B"/>
    <w:rsid w:val="5F1D1F65"/>
    <w:rsid w:val="5FA02CCC"/>
    <w:rsid w:val="5FC937AE"/>
    <w:rsid w:val="5FD26EF5"/>
    <w:rsid w:val="5FE77090"/>
    <w:rsid w:val="60466173"/>
    <w:rsid w:val="60D12F22"/>
    <w:rsid w:val="610D51F3"/>
    <w:rsid w:val="61274414"/>
    <w:rsid w:val="614E5046"/>
    <w:rsid w:val="61BA7DEB"/>
    <w:rsid w:val="62097264"/>
    <w:rsid w:val="621C2CBC"/>
    <w:rsid w:val="628C2A3A"/>
    <w:rsid w:val="629A4596"/>
    <w:rsid w:val="63365117"/>
    <w:rsid w:val="636C2E67"/>
    <w:rsid w:val="63FC78EF"/>
    <w:rsid w:val="641614AA"/>
    <w:rsid w:val="644A3E24"/>
    <w:rsid w:val="647C4D5E"/>
    <w:rsid w:val="64CA269A"/>
    <w:rsid w:val="64EF19F4"/>
    <w:rsid w:val="64FF6C4F"/>
    <w:rsid w:val="65544A0E"/>
    <w:rsid w:val="66000882"/>
    <w:rsid w:val="66503158"/>
    <w:rsid w:val="6664256B"/>
    <w:rsid w:val="666E0F43"/>
    <w:rsid w:val="66D229E0"/>
    <w:rsid w:val="66D820E1"/>
    <w:rsid w:val="67466ADF"/>
    <w:rsid w:val="67735B33"/>
    <w:rsid w:val="67A90BD1"/>
    <w:rsid w:val="67B02AA3"/>
    <w:rsid w:val="67DE0819"/>
    <w:rsid w:val="67F70B8B"/>
    <w:rsid w:val="680D41FD"/>
    <w:rsid w:val="682F6926"/>
    <w:rsid w:val="68831B76"/>
    <w:rsid w:val="6894749C"/>
    <w:rsid w:val="69861D94"/>
    <w:rsid w:val="6A454A1D"/>
    <w:rsid w:val="6A7A124B"/>
    <w:rsid w:val="6A7C1EFE"/>
    <w:rsid w:val="6B0014B7"/>
    <w:rsid w:val="6B166B17"/>
    <w:rsid w:val="6B5930CB"/>
    <w:rsid w:val="6B8658CD"/>
    <w:rsid w:val="6BA6264B"/>
    <w:rsid w:val="6BC508D5"/>
    <w:rsid w:val="6C497F92"/>
    <w:rsid w:val="6C8E7612"/>
    <w:rsid w:val="6D36396A"/>
    <w:rsid w:val="6D8D2A05"/>
    <w:rsid w:val="6E5151FF"/>
    <w:rsid w:val="6E877BFC"/>
    <w:rsid w:val="6E9C68FC"/>
    <w:rsid w:val="6ED8032D"/>
    <w:rsid w:val="6FAE3DAD"/>
    <w:rsid w:val="6FC513FE"/>
    <w:rsid w:val="6FFE0C49"/>
    <w:rsid w:val="70035F92"/>
    <w:rsid w:val="702F783B"/>
    <w:rsid w:val="70413C56"/>
    <w:rsid w:val="706945BB"/>
    <w:rsid w:val="7125541D"/>
    <w:rsid w:val="71281B2F"/>
    <w:rsid w:val="71A85CE4"/>
    <w:rsid w:val="71BA4477"/>
    <w:rsid w:val="71E12002"/>
    <w:rsid w:val="73B45BC5"/>
    <w:rsid w:val="73CD3B63"/>
    <w:rsid w:val="74107E5F"/>
    <w:rsid w:val="7430029C"/>
    <w:rsid w:val="74382932"/>
    <w:rsid w:val="749E612F"/>
    <w:rsid w:val="74BA1821"/>
    <w:rsid w:val="761B2B23"/>
    <w:rsid w:val="7696630A"/>
    <w:rsid w:val="76A32C3B"/>
    <w:rsid w:val="77AC55D4"/>
    <w:rsid w:val="7855180A"/>
    <w:rsid w:val="787F23C4"/>
    <w:rsid w:val="78FA74BE"/>
    <w:rsid w:val="78FF7A7D"/>
    <w:rsid w:val="7916686C"/>
    <w:rsid w:val="79604C6F"/>
    <w:rsid w:val="79DE39E7"/>
    <w:rsid w:val="79EA6E80"/>
    <w:rsid w:val="7A3A50E2"/>
    <w:rsid w:val="7A6543BC"/>
    <w:rsid w:val="7A68102A"/>
    <w:rsid w:val="7B99714F"/>
    <w:rsid w:val="7C0D2DAD"/>
    <w:rsid w:val="7C6272C5"/>
    <w:rsid w:val="7C701782"/>
    <w:rsid w:val="7D1A5214"/>
    <w:rsid w:val="7D535788"/>
    <w:rsid w:val="7D563C05"/>
    <w:rsid w:val="7E10006F"/>
    <w:rsid w:val="7E526B4C"/>
    <w:rsid w:val="7EE62094"/>
    <w:rsid w:val="7EFC30CC"/>
    <w:rsid w:val="7F183351"/>
    <w:rsid w:val="7F58699A"/>
    <w:rsid w:val="7FD31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6" w:lineRule="auto"/>
      <w:jc w:val="center"/>
      <w:outlineLvl w:val="0"/>
    </w:pPr>
    <w:rPr>
      <w:rFonts w:eastAsia="黑体"/>
      <w:kern w:val="44"/>
      <w:sz w:val="28"/>
    </w:rPr>
  </w:style>
  <w:style w:type="character" w:default="1" w:styleId="8">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2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toc 1"/>
    <w:basedOn w:val="1"/>
    <w:next w:val="1"/>
    <w:qFormat/>
    <w:uiPriority w:val="0"/>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FollowedHyperlink"/>
    <w:basedOn w:val="8"/>
    <w:qFormat/>
    <w:uiPriority w:val="0"/>
    <w:rPr>
      <w:color w:val="800080"/>
      <w:u w:val="single"/>
    </w:rPr>
  </w:style>
  <w:style w:type="character" w:styleId="10">
    <w:name w:val="Hyperlink"/>
    <w:basedOn w:val="8"/>
    <w:qFormat/>
    <w:uiPriority w:val="0"/>
    <w:rPr>
      <w:color w:val="0000FF"/>
      <w:u w:val="singl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font21"/>
    <w:basedOn w:val="8"/>
    <w:qFormat/>
    <w:uiPriority w:val="0"/>
    <w:rPr>
      <w:rFonts w:hint="eastAsia" w:ascii="宋体" w:hAnsi="宋体" w:eastAsia="宋体" w:cs="宋体"/>
      <w:color w:val="000000"/>
      <w:sz w:val="24"/>
      <w:szCs w:val="24"/>
      <w:u w:val="none"/>
    </w:rPr>
  </w:style>
  <w:style w:type="character" w:customStyle="1" w:styleId="14">
    <w:name w:val="font01"/>
    <w:basedOn w:val="8"/>
    <w:qFormat/>
    <w:uiPriority w:val="0"/>
    <w:rPr>
      <w:rFonts w:hint="default" w:ascii="Arial" w:hAnsi="Arial" w:cs="Arial"/>
      <w:color w:val="000000"/>
      <w:sz w:val="24"/>
      <w:szCs w:val="24"/>
      <w:u w:val="none"/>
    </w:rPr>
  </w:style>
  <w:style w:type="character" w:customStyle="1" w:styleId="15">
    <w:name w:val="t"/>
    <w:basedOn w:val="8"/>
    <w:qFormat/>
    <w:uiPriority w:val="0"/>
  </w:style>
  <w:style w:type="paragraph" w:customStyle="1" w:styleId="16">
    <w:name w:val="Table Paragraph"/>
    <w:basedOn w:val="1"/>
    <w:qFormat/>
    <w:uiPriority w:val="1"/>
  </w:style>
  <w:style w:type="paragraph" w:customStyle="1" w:styleId="17">
    <w:name w:val="无间隔1"/>
    <w:qFormat/>
    <w:uiPriority w:val="1"/>
    <w:pPr>
      <w:widowControl w:val="0"/>
      <w:jc w:val="both"/>
    </w:pPr>
    <w:rPr>
      <w:rFonts w:ascii="Calibri" w:hAnsi="Calibri" w:eastAsiaTheme="minorEastAsia" w:cstheme="minorBidi"/>
      <w:kern w:val="2"/>
      <w:sz w:val="21"/>
      <w:szCs w:val="22"/>
      <w:lang w:val="en-US" w:eastAsia="zh-CN" w:bidi="ar-SA"/>
    </w:rPr>
  </w:style>
  <w:style w:type="paragraph" w:customStyle="1" w:styleId="18">
    <w:name w:val="缩进正文1"/>
    <w:basedOn w:val="1"/>
    <w:qFormat/>
    <w:uiPriority w:val="0"/>
    <w:pPr>
      <w:ind w:left="874" w:hanging="420"/>
    </w:pPr>
    <w:rPr>
      <w:rFonts w:ascii="宋体"/>
      <w:szCs w:val="21"/>
    </w:rPr>
  </w:style>
  <w:style w:type="paragraph" w:customStyle="1" w:styleId="19">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20">
    <w:name w:val="批注框文本 Char"/>
    <w:basedOn w:val="8"/>
    <w:link w:val="3"/>
    <w:qFormat/>
    <w:uiPriority w:val="0"/>
    <w:rPr>
      <w:rFonts w:ascii="Calibri" w:hAnsi="Calibri" w:eastAsia="宋体" w:cs="Times New Roman"/>
      <w:kern w:val="2"/>
      <w:sz w:val="18"/>
      <w:szCs w:val="18"/>
    </w:rPr>
  </w:style>
  <w:style w:type="character" w:customStyle="1" w:styleId="21">
    <w:name w:val="font41"/>
    <w:qFormat/>
    <w:uiPriority w:val="0"/>
    <w:rPr>
      <w:rFonts w:hint="eastAsia" w:ascii="宋体" w:hAnsi="宋体" w:eastAsia="宋体" w:cs="宋体"/>
      <w:color w:val="000000"/>
      <w:sz w:val="20"/>
      <w:szCs w:val="20"/>
      <w:u w:val="none"/>
    </w:rPr>
  </w:style>
  <w:style w:type="character" w:customStyle="1" w:styleId="22">
    <w:name w:val="font51"/>
    <w:qFormat/>
    <w:uiPriority w:val="0"/>
    <w:rPr>
      <w:rFonts w:hint="default" w:ascii="Times New Roman" w:hAnsi="Times New Roman" w:cs="Times New Roman"/>
      <w:color w:val="000000"/>
      <w:sz w:val="20"/>
      <w:szCs w:val="20"/>
      <w:u w:val="none"/>
    </w:rPr>
  </w:style>
  <w:style w:type="paragraph" w:customStyle="1" w:styleId="23">
    <w:name w:val="列出段落1"/>
    <w:basedOn w:val="1"/>
    <w:qFormat/>
    <w:uiPriority w:val="34"/>
    <w:pPr>
      <w:ind w:firstLine="420" w:firstLineChars="200"/>
    </w:pPr>
  </w:style>
  <w:style w:type="character" w:customStyle="1" w:styleId="24">
    <w:name w:val="font31"/>
    <w:basedOn w:val="8"/>
    <w:qFormat/>
    <w:uiPriority w:val="0"/>
    <w:rPr>
      <w:rFonts w:hint="eastAsia" w:ascii="宋体" w:hAnsi="宋体" w:eastAsia="宋体" w:cs="宋体"/>
      <w:color w:val="000000"/>
      <w:sz w:val="21"/>
      <w:szCs w:val="21"/>
      <w:u w:val="none"/>
    </w:rPr>
  </w:style>
  <w:style w:type="character" w:customStyle="1" w:styleId="25">
    <w:name w:val="font61"/>
    <w:basedOn w:val="8"/>
    <w:qFormat/>
    <w:uiPriority w:val="0"/>
    <w:rPr>
      <w:rFonts w:hint="default" w:ascii="Times New Roman" w:hAnsi="Times New Roman" w:cs="Times New Roman"/>
      <w:color w:val="000000"/>
      <w:sz w:val="21"/>
      <w:szCs w:val="21"/>
      <w:u w:val="none"/>
    </w:rPr>
  </w:style>
  <w:style w:type="character" w:customStyle="1" w:styleId="26">
    <w:name w:val="font11"/>
    <w:basedOn w:val="8"/>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48</Pages>
  <Words>36554</Words>
  <Characters>5229</Characters>
  <Lines>43</Lines>
  <Paragraphs>83</Paragraphs>
  <TotalTime>34</TotalTime>
  <ScaleCrop>false</ScaleCrop>
  <LinksUpToDate>false</LinksUpToDate>
  <CharactersWithSpaces>41700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hunjun</dc:creator>
  <cp:lastModifiedBy>E550-Win32</cp:lastModifiedBy>
  <dcterms:modified xsi:type="dcterms:W3CDTF">2020-08-07T05:22:33Z</dcterms:modified>
  <cp:revision>297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